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2F7F" w14:textId="77777777" w:rsidR="00042D92" w:rsidRPr="00183204" w:rsidRDefault="00042D92" w:rsidP="00D169C6">
      <w:pPr>
        <w:pStyle w:val="SOPLevel1"/>
      </w:pPr>
      <w:bookmarkStart w:id="0" w:name="_GoBack"/>
      <w:bookmarkEnd w:id="0"/>
      <w:r w:rsidRPr="00183204">
        <w:t>PURPOSE</w:t>
      </w:r>
    </w:p>
    <w:p w14:paraId="53402F80" w14:textId="77777777" w:rsidR="00042D92" w:rsidRPr="00183204" w:rsidRDefault="00042D92" w:rsidP="00D169C6">
      <w:pPr>
        <w:pStyle w:val="SOPLevel2"/>
      </w:pPr>
      <w:r w:rsidRPr="00183204">
        <w:t>This procedure establishes the process for communications after a protocol is reviewed.</w:t>
      </w:r>
    </w:p>
    <w:p w14:paraId="53402F81" w14:textId="77777777" w:rsidR="00042D92" w:rsidRPr="00183204" w:rsidRDefault="00042D92" w:rsidP="00D169C6">
      <w:pPr>
        <w:pStyle w:val="SOPLevel2"/>
      </w:pPr>
      <w:r w:rsidRPr="00183204">
        <w:t>The process begins when:</w:t>
      </w:r>
    </w:p>
    <w:p w14:paraId="53402F82" w14:textId="77777777" w:rsidR="00042D92" w:rsidRPr="00183204" w:rsidRDefault="00042D92" w:rsidP="00D169C6">
      <w:pPr>
        <w:pStyle w:val="SOPLevel3"/>
      </w:pPr>
      <w:r w:rsidRPr="00183204">
        <w:t xml:space="preserve">A </w:t>
      </w:r>
      <w:r w:rsidRPr="00183204">
        <w:rPr>
          <w:u w:val="double"/>
        </w:rPr>
        <w:t>Designated Reviewer</w:t>
      </w:r>
      <w:r w:rsidRPr="00183204">
        <w:t xml:space="preserve"> has completed a </w:t>
      </w:r>
      <w:r w:rsidRPr="00183204">
        <w:rPr>
          <w:u w:val="double"/>
        </w:rPr>
        <w:t>Non-Committee Review</w:t>
      </w:r>
      <w:r w:rsidRPr="00183204">
        <w:t xml:space="preserve"> and provided completed materials to the IRB staff; OR</w:t>
      </w:r>
    </w:p>
    <w:p w14:paraId="53402F83" w14:textId="5B07D2E3" w:rsidR="00042D92" w:rsidRPr="00183204" w:rsidRDefault="00042D92" w:rsidP="00D169C6">
      <w:pPr>
        <w:pStyle w:val="SOPLevel3"/>
      </w:pPr>
      <w:r w:rsidRPr="00183204">
        <w:t xml:space="preserve">An IRB meeting </w:t>
      </w:r>
      <w:proofErr w:type="spellStart"/>
      <w:r w:rsidRPr="00183204">
        <w:t>has</w:t>
      </w:r>
      <w:proofErr w:type="spellEnd"/>
      <w:r w:rsidRPr="00183204">
        <w:t xml:space="preserve"> adjourned; OR</w:t>
      </w:r>
    </w:p>
    <w:p w14:paraId="53402F84" w14:textId="77777777" w:rsidR="00042D92" w:rsidRPr="00183204" w:rsidRDefault="00042D92" w:rsidP="00D169C6">
      <w:pPr>
        <w:pStyle w:val="SOPLevel3"/>
      </w:pPr>
      <w:r w:rsidRPr="00183204">
        <w:t>An IRB staff member has verified that modifications required to secure approval have been made.</w:t>
      </w:r>
    </w:p>
    <w:p w14:paraId="53402F85" w14:textId="77777777" w:rsidR="00042D92" w:rsidRPr="00183204" w:rsidRDefault="00042D92" w:rsidP="00D169C6">
      <w:pPr>
        <w:pStyle w:val="SOPLevel2"/>
      </w:pPr>
      <w:r w:rsidRPr="00183204">
        <w:t>The process ends when all correspondence related to IRB determinations and actions have been sent and additional tasks have been completed.</w:t>
      </w:r>
    </w:p>
    <w:p w14:paraId="53402F86" w14:textId="77777777" w:rsidR="00042D92" w:rsidRPr="00183204" w:rsidRDefault="00042D92" w:rsidP="00D169C6">
      <w:pPr>
        <w:pStyle w:val="SOPLevel1"/>
      </w:pPr>
      <w:r w:rsidRPr="00183204">
        <w:t>REVISIONS FROM PREVIOUS VERSION</w:t>
      </w:r>
    </w:p>
    <w:p w14:paraId="53402F87" w14:textId="77777777" w:rsidR="00042D92" w:rsidRPr="00183204" w:rsidRDefault="00042D92" w:rsidP="00D169C6">
      <w:pPr>
        <w:pStyle w:val="SOPLevel2"/>
      </w:pPr>
      <w:r w:rsidRPr="00183204">
        <w:t>None</w:t>
      </w:r>
    </w:p>
    <w:p w14:paraId="53402F88" w14:textId="77777777" w:rsidR="00042D92" w:rsidRPr="00183204" w:rsidRDefault="00042D92" w:rsidP="00D169C6">
      <w:pPr>
        <w:pStyle w:val="SOPLevel1"/>
      </w:pPr>
      <w:r w:rsidRPr="00183204">
        <w:t>POLICY</w:t>
      </w:r>
    </w:p>
    <w:p w14:paraId="53402F89" w14:textId="77777777" w:rsidR="00042D92" w:rsidRPr="00183204" w:rsidRDefault="00042D92" w:rsidP="00D169C6">
      <w:pPr>
        <w:pStyle w:val="SOPLevel2"/>
      </w:pPr>
      <w:r w:rsidRPr="00183204">
        <w:t>The IRB reports its findings and actions to the investigator.</w:t>
      </w:r>
    </w:p>
    <w:p w14:paraId="53402F8A" w14:textId="77777777" w:rsidR="00042D92" w:rsidRPr="00183204" w:rsidRDefault="00042D92" w:rsidP="00D169C6">
      <w:pPr>
        <w:pStyle w:val="SOPLevel2"/>
      </w:pPr>
      <w:r w:rsidRPr="00183204">
        <w:t>The IRB reports its findings and actions to the institution.</w:t>
      </w:r>
    </w:p>
    <w:p w14:paraId="53402F8B" w14:textId="77777777" w:rsidR="00042D92" w:rsidRPr="00183204" w:rsidRDefault="00042D92" w:rsidP="00D169C6">
      <w:pPr>
        <w:pStyle w:val="SOPLevel2"/>
      </w:pPr>
      <w:r w:rsidRPr="00183204">
        <w:t>When the IRB disapproves research, it provides the investigator with a statement of the reasons for the decision and gives the investigator an opportunity to respond in person or in writing.</w:t>
      </w:r>
    </w:p>
    <w:p w14:paraId="53402F8C" w14:textId="156F120D" w:rsidR="00042D92" w:rsidRPr="00183204" w:rsidRDefault="009B5282" w:rsidP="00D169C6">
      <w:pPr>
        <w:pStyle w:val="SOPLevel2"/>
      </w:pPr>
      <w:r w:rsidRPr="00183204">
        <w:t>Communication of review results to investigators</w:t>
      </w:r>
      <w:r w:rsidR="00042D92" w:rsidRPr="00183204">
        <w:t xml:space="preserve"> are to be completed within 10 business days of the IRB meeting or receipt of the completed </w:t>
      </w:r>
      <w:r w:rsidR="00042D92" w:rsidRPr="00183204">
        <w:rPr>
          <w:u w:val="double"/>
        </w:rPr>
        <w:t>Non-Committee Review</w:t>
      </w:r>
      <w:r w:rsidR="00042D92" w:rsidRPr="00183204">
        <w:t xml:space="preserve"> materials.</w:t>
      </w:r>
    </w:p>
    <w:p w14:paraId="53402F8D" w14:textId="6D8DCEAC" w:rsidR="00042D92" w:rsidRPr="00183204" w:rsidRDefault="00042D92" w:rsidP="000C55D8">
      <w:pPr>
        <w:pStyle w:val="SOPLevel2"/>
      </w:pPr>
      <w:r w:rsidRPr="00183204">
        <w:t xml:space="preserve">Reporting of </w:t>
      </w:r>
      <w:r w:rsidRPr="00183204">
        <w:rPr>
          <w:u w:val="double"/>
        </w:rPr>
        <w:t>Serious Non-Compliance</w:t>
      </w:r>
      <w:r w:rsidRPr="00183204">
        <w:t xml:space="preserve">; </w:t>
      </w:r>
      <w:r w:rsidRPr="00183204">
        <w:rPr>
          <w:u w:val="double"/>
        </w:rPr>
        <w:t>Continuing Non-Compliance</w:t>
      </w:r>
      <w:r w:rsidRPr="00183204">
        <w:t xml:space="preserve">; </w:t>
      </w:r>
      <w:r w:rsidRPr="00183204">
        <w:rPr>
          <w:u w:val="double"/>
        </w:rPr>
        <w:t>Suspension of IRB Approval</w:t>
      </w:r>
      <w:r w:rsidRPr="00183204">
        <w:t xml:space="preserve">; </w:t>
      </w:r>
      <w:r w:rsidRPr="00183204">
        <w:rPr>
          <w:u w:val="double"/>
        </w:rPr>
        <w:t>Termination of IRB Approval</w:t>
      </w:r>
      <w:r w:rsidRPr="00183204">
        <w:t xml:space="preserve">; and </w:t>
      </w:r>
      <w:r w:rsidRPr="00183204">
        <w:rPr>
          <w:u w:val="double"/>
        </w:rPr>
        <w:t>Unanticipated Problem Involving Risks to Subjects or Others</w:t>
      </w:r>
      <w:r w:rsidRPr="00183204">
        <w:t xml:space="preserve"> </w:t>
      </w:r>
      <w:r w:rsidR="009B5282" w:rsidRPr="00183204">
        <w:t xml:space="preserve">to outside agencies </w:t>
      </w:r>
      <w:r w:rsidRPr="00183204">
        <w:t xml:space="preserve">is to take place within 30 </w:t>
      </w:r>
      <w:r w:rsidR="00767235">
        <w:t xml:space="preserve">business </w:t>
      </w:r>
      <w:r w:rsidRPr="00183204">
        <w:t xml:space="preserve">days from the </w:t>
      </w:r>
      <w:r w:rsidR="00767235">
        <w:t>determination</w:t>
      </w:r>
      <w:r w:rsidR="00767235" w:rsidRPr="00183204">
        <w:t xml:space="preserve"> </w:t>
      </w:r>
      <w:r w:rsidRPr="00183204">
        <w:t>of a reportable problem.</w:t>
      </w:r>
    </w:p>
    <w:p w14:paraId="53402F8E" w14:textId="77777777" w:rsidR="00042D92" w:rsidRPr="00183204" w:rsidRDefault="00042D92" w:rsidP="00D169C6">
      <w:pPr>
        <w:pStyle w:val="SOPLevel1"/>
      </w:pPr>
      <w:r w:rsidRPr="00183204">
        <w:t>RESPONSIBILITIES</w:t>
      </w:r>
    </w:p>
    <w:p w14:paraId="53402F8F" w14:textId="77777777" w:rsidR="00042D92" w:rsidRPr="00183204" w:rsidRDefault="00042D92" w:rsidP="00D169C6">
      <w:pPr>
        <w:pStyle w:val="SOPLevel2"/>
      </w:pPr>
      <w:r w:rsidRPr="00183204">
        <w:t>IRB staff members carry out these procedures.</w:t>
      </w:r>
    </w:p>
    <w:p w14:paraId="53402F90" w14:textId="77777777" w:rsidR="00042D92" w:rsidRPr="00183204" w:rsidRDefault="00042D92" w:rsidP="00D169C6">
      <w:pPr>
        <w:pStyle w:val="SOPLevel1"/>
      </w:pPr>
      <w:r w:rsidRPr="00183204">
        <w:t>PROCEDURE</w:t>
      </w:r>
    </w:p>
    <w:p w14:paraId="53402F91" w14:textId="77777777" w:rsidR="00042D92" w:rsidRPr="00183204" w:rsidRDefault="00042D92" w:rsidP="00D169C6">
      <w:pPr>
        <w:pStyle w:val="SOPLevel2"/>
      </w:pPr>
      <w:r w:rsidRPr="00183204">
        <w:t xml:space="preserve">If the </w:t>
      </w:r>
      <w:r w:rsidRPr="00183204">
        <w:rPr>
          <w:u w:val="double"/>
        </w:rPr>
        <w:t>Non-Committee Review</w:t>
      </w:r>
      <w:r w:rsidRPr="00183204">
        <w:t xml:space="preserve"> indicated a </w:t>
      </w:r>
      <w:r w:rsidRPr="00183204">
        <w:rPr>
          <w:u w:val="double"/>
        </w:rPr>
        <w:t>Conflicting Interest</w:t>
      </w:r>
      <w:r w:rsidRPr="00183204">
        <w:t xml:space="preserve"> or a lack of expertise, follow “SOP: Non-Committee Review Preparation (HRP-031).”</w:t>
      </w:r>
    </w:p>
    <w:p w14:paraId="53402F92" w14:textId="741B26F6" w:rsidR="00042D92" w:rsidRPr="00183204" w:rsidRDefault="00042D92" w:rsidP="00D169C6">
      <w:pPr>
        <w:pStyle w:val="SOPLevel2"/>
      </w:pPr>
      <w:r w:rsidRPr="00183204">
        <w:t>If the title, principal investigator, or research staff for a protocol changed, update the list of protocols</w:t>
      </w:r>
      <w:r w:rsidR="00855F25">
        <w:t>.</w:t>
      </w:r>
    </w:p>
    <w:p w14:paraId="53402F93" w14:textId="3EEA9267" w:rsidR="00042D92" w:rsidRPr="00183204" w:rsidRDefault="00767235" w:rsidP="00767235">
      <w:pPr>
        <w:pStyle w:val="SOPLevel2"/>
      </w:pPr>
      <w:r>
        <w:t xml:space="preserve">For initial review, continuing review, or modifications, calculate </w:t>
      </w:r>
      <w:r w:rsidR="00974A2B">
        <w:t>appropriate</w:t>
      </w:r>
      <w:r w:rsidR="00042D92" w:rsidRPr="00183204">
        <w:t xml:space="preserve"> approval intervals</w:t>
      </w:r>
      <w:r>
        <w:t>, if applicable</w:t>
      </w:r>
      <w:r w:rsidR="00042D92" w:rsidRPr="00183204">
        <w:t>.</w:t>
      </w:r>
    </w:p>
    <w:p w14:paraId="53402F97" w14:textId="47A48E28" w:rsidR="00042D92" w:rsidRPr="00183204" w:rsidRDefault="00974A2B" w:rsidP="004D70E3">
      <w:pPr>
        <w:pStyle w:val="SOPLevel3"/>
      </w:pPr>
      <w:r>
        <w:t>S</w:t>
      </w:r>
      <w:r w:rsidR="00042D92" w:rsidRPr="00183204">
        <w:t xml:space="preserve">end all applicable letters within </w:t>
      </w:r>
      <w:r w:rsidR="00B736FD" w:rsidRPr="00183204">
        <w:t>30</w:t>
      </w:r>
      <w:r w:rsidR="00042D92" w:rsidRPr="00183204">
        <w:t xml:space="preserve"> business days.</w:t>
      </w:r>
    </w:p>
    <w:p w14:paraId="53402F98" w14:textId="77777777" w:rsidR="00042D92" w:rsidRPr="00183204" w:rsidRDefault="00042D92" w:rsidP="00D169C6">
      <w:pPr>
        <w:pStyle w:val="SOPLevel3"/>
      </w:pPr>
      <w:r w:rsidRPr="00183204">
        <w:t>Have letter signed by the signatory in the template letter.</w:t>
      </w:r>
    </w:p>
    <w:p w14:paraId="53402F9A" w14:textId="4345FF68" w:rsidR="00042D92" w:rsidRDefault="00042D92" w:rsidP="004D70E3">
      <w:pPr>
        <w:pStyle w:val="SOPLevel3"/>
      </w:pPr>
      <w:r w:rsidRPr="00183204">
        <w:t>Send the letter to the inside addresses and cc list as directed by the letter.</w:t>
      </w:r>
    </w:p>
    <w:p w14:paraId="1CBE5909" w14:textId="77777777" w:rsidR="00767235" w:rsidRPr="004D70E3" w:rsidRDefault="00767235" w:rsidP="00767235">
      <w:pPr>
        <w:pStyle w:val="SOPLevel2"/>
        <w:ind w:left="576" w:hanging="216"/>
      </w:pPr>
      <w:r w:rsidRPr="004D70E3">
        <w:t xml:space="preserve">For determinations of </w:t>
      </w:r>
      <w:r w:rsidRPr="004D70E3">
        <w:rPr>
          <w:u w:val="double"/>
        </w:rPr>
        <w:t>Serious Non-Compliance</w:t>
      </w:r>
      <w:r w:rsidRPr="004D70E3">
        <w:t xml:space="preserve">; </w:t>
      </w:r>
      <w:r w:rsidRPr="004D70E3">
        <w:rPr>
          <w:u w:val="double"/>
        </w:rPr>
        <w:t>Continuing Non-Compliance</w:t>
      </w:r>
      <w:r w:rsidRPr="004D70E3">
        <w:t xml:space="preserve">; </w:t>
      </w:r>
      <w:r w:rsidRPr="004D70E3">
        <w:rPr>
          <w:u w:val="double"/>
        </w:rPr>
        <w:t>Suspension of IRB Approval</w:t>
      </w:r>
      <w:r w:rsidRPr="004D70E3">
        <w:t xml:space="preserve">; </w:t>
      </w:r>
      <w:r w:rsidRPr="004D70E3">
        <w:rPr>
          <w:u w:val="double"/>
        </w:rPr>
        <w:t>Termination of IRB Approval</w:t>
      </w:r>
      <w:r w:rsidRPr="004D70E3">
        <w:t xml:space="preserve">; or </w:t>
      </w:r>
      <w:r w:rsidRPr="004D70E3">
        <w:rPr>
          <w:u w:val="double"/>
        </w:rPr>
        <w:t>Unanticipated Problem Involving Risks to Subjects or Others:</w:t>
      </w:r>
    </w:p>
    <w:p w14:paraId="4D6A6A10" w14:textId="1E18A224" w:rsidR="00767235" w:rsidRPr="004D70E3" w:rsidRDefault="00C8491A" w:rsidP="00767235">
      <w:pPr>
        <w:pStyle w:val="SOPLevel3"/>
      </w:pPr>
      <w:r w:rsidRPr="004D70E3">
        <w:t>S</w:t>
      </w:r>
      <w:r w:rsidR="00767235" w:rsidRPr="004D70E3">
        <w:t>end all applicable letters to the Principal Investigator within 5 business days.</w:t>
      </w:r>
    </w:p>
    <w:p w14:paraId="0673BFB5" w14:textId="45D3A639" w:rsidR="00767235" w:rsidRPr="004D70E3" w:rsidRDefault="00767235" w:rsidP="00767235">
      <w:pPr>
        <w:pStyle w:val="SOPLevel4"/>
      </w:pPr>
      <w:r w:rsidRPr="004D70E3">
        <w:t xml:space="preserve">Have letter signed by the </w:t>
      </w:r>
      <w:r w:rsidR="00855F25">
        <w:t>signatory</w:t>
      </w:r>
      <w:r w:rsidRPr="004D70E3">
        <w:t>.</w:t>
      </w:r>
    </w:p>
    <w:p w14:paraId="218E38B4" w14:textId="77777777" w:rsidR="00767235" w:rsidRPr="004D70E3" w:rsidRDefault="00767235" w:rsidP="00767235">
      <w:pPr>
        <w:pStyle w:val="SOPLevel4"/>
      </w:pPr>
      <w:r w:rsidRPr="004D70E3">
        <w:t>Send the letter to the inside addresses and cc list as directed by the letter.</w:t>
      </w:r>
    </w:p>
    <w:p w14:paraId="6DBB8C52" w14:textId="47981C6D" w:rsidR="00767235" w:rsidRPr="00183204" w:rsidRDefault="00C8491A" w:rsidP="00C8491A">
      <w:pPr>
        <w:pStyle w:val="SOPLevel3"/>
      </w:pPr>
      <w:r>
        <w:t>S</w:t>
      </w:r>
      <w:r w:rsidR="00767235" w:rsidRPr="009C2649">
        <w:t xml:space="preserve">end </w:t>
      </w:r>
      <w:r>
        <w:t xml:space="preserve">letter </w:t>
      </w:r>
      <w:r w:rsidR="00767235" w:rsidRPr="009C2649">
        <w:t>to outside agencies within 30 business days from the determination of a reportable problem</w:t>
      </w:r>
      <w:r w:rsidR="00855F25">
        <w:t>.</w:t>
      </w:r>
    </w:p>
    <w:p w14:paraId="53402F9B" w14:textId="77777777" w:rsidR="00042D92" w:rsidRPr="00183204" w:rsidRDefault="00042D92" w:rsidP="00D169C6">
      <w:pPr>
        <w:pStyle w:val="SOPLevel1"/>
      </w:pPr>
      <w:r w:rsidRPr="00183204">
        <w:t>MATERIALS</w:t>
      </w:r>
    </w:p>
    <w:p w14:paraId="53402F9C" w14:textId="77777777" w:rsidR="00042D92" w:rsidRPr="00183204" w:rsidRDefault="00042D92" w:rsidP="00D169C6">
      <w:pPr>
        <w:pStyle w:val="SOPLevel2"/>
      </w:pPr>
      <w:r w:rsidRPr="00183204">
        <w:t>SOP: Non-Committee Review Preparation (HRP-031)</w:t>
      </w:r>
    </w:p>
    <w:p w14:paraId="53402F9F" w14:textId="77777777" w:rsidR="00042D92" w:rsidRPr="00183204" w:rsidRDefault="00042D92" w:rsidP="00D169C6">
      <w:pPr>
        <w:pStyle w:val="SOPLevel1"/>
      </w:pPr>
      <w:r w:rsidRPr="00183204">
        <w:t>REFERENCES</w:t>
      </w:r>
    </w:p>
    <w:p w14:paraId="53402FA0" w14:textId="77777777" w:rsidR="00042D92" w:rsidRPr="00183204" w:rsidRDefault="00042D92" w:rsidP="00D169C6">
      <w:pPr>
        <w:pStyle w:val="SOPLevel2"/>
      </w:pPr>
      <w:r w:rsidRPr="00183204">
        <w:t>45 CFR §46.103(b)(4)(i), 45 CFR §46.207, 45 CFR §46.306(2)(C), 45 CFR §46.306(2)(D), 45 CFR §46.407, 45 CFR §46 Waiver of Informed Consent Requirements in Certain Emergency Research (November 1, 1996)</w:t>
      </w:r>
    </w:p>
    <w:p w14:paraId="53402FC6" w14:textId="16A82B22" w:rsidR="009654FF" w:rsidRPr="00183204" w:rsidRDefault="00042D92" w:rsidP="0045024E">
      <w:pPr>
        <w:pStyle w:val="SOPLevel2"/>
        <w:numPr>
          <w:ilvl w:val="0"/>
          <w:numId w:val="0"/>
        </w:numPr>
        <w:ind w:left="216" w:firstLine="720"/>
      </w:pPr>
      <w:r w:rsidRPr="00183204">
        <w:lastRenderedPageBreak/>
        <w:t>21 CFR §56.108(a)(1), 21 CFR §50.24(e), 21 CFR §50.54(b), 21 CFR §812.66</w:t>
      </w:r>
    </w:p>
    <w:sectPr w:rsidR="009654FF" w:rsidRPr="00183204" w:rsidSect="00DB2F20">
      <w:headerReference w:type="default" r:id="rId11"/>
      <w:footerReference w:type="default" r:id="rId12"/>
      <w:pgSz w:w="12240" w:h="15840"/>
      <w:pgMar w:top="1440" w:right="13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E9223" w14:textId="77777777" w:rsidR="00322EDE" w:rsidRDefault="00322EDE">
      <w:pPr>
        <w:spacing w:after="0" w:line="240" w:lineRule="auto"/>
      </w:pPr>
      <w:r>
        <w:separator/>
      </w:r>
    </w:p>
  </w:endnote>
  <w:endnote w:type="continuationSeparator" w:id="0">
    <w:p w14:paraId="07D8C0EA" w14:textId="77777777" w:rsidR="00322EDE" w:rsidRDefault="0032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2FE3" w14:textId="77777777" w:rsidR="009A0553" w:rsidRPr="009A0553" w:rsidRDefault="00240FDC" w:rsidP="009A055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042D92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0007" w14:textId="77777777" w:rsidR="00322EDE" w:rsidRDefault="00322EDE">
      <w:pPr>
        <w:spacing w:after="0" w:line="240" w:lineRule="auto"/>
      </w:pPr>
      <w:r>
        <w:separator/>
      </w:r>
    </w:p>
  </w:footnote>
  <w:footnote w:type="continuationSeparator" w:id="0">
    <w:p w14:paraId="7C10F559" w14:textId="77777777" w:rsidR="00322EDE" w:rsidRDefault="0032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0"/>
      <w:gridCol w:w="1003"/>
      <w:gridCol w:w="912"/>
      <w:gridCol w:w="1481"/>
      <w:gridCol w:w="1559"/>
      <w:gridCol w:w="825"/>
    </w:tblGrid>
    <w:tr w:rsidR="00D376F5" w:rsidRPr="00AE7473" w14:paraId="53402FCD" w14:textId="77777777" w:rsidTr="006C7BE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3402FCB" w14:textId="2517A415" w:rsidR="00D376F5" w:rsidRPr="00AE7473" w:rsidRDefault="00D21AE8" w:rsidP="004A03C3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16FE7F04" wp14:editId="2A262883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3402FCC" w14:textId="77777777" w:rsidR="00D376F5" w:rsidRPr="00AE7473" w:rsidRDefault="00240FDC" w:rsidP="006C7BE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D376F5" w:rsidRPr="00AE7473" w14:paraId="53402FD0" w14:textId="77777777" w:rsidTr="006C7B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3402FCE" w14:textId="77777777" w:rsidR="00D376F5" w:rsidRDefault="00240FDC" w:rsidP="006C7BE3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402FCF" w14:textId="77777777" w:rsidR="00D376F5" w:rsidRPr="004A03C3" w:rsidRDefault="00042D92" w:rsidP="006C7BE3">
          <w:pPr>
            <w:pStyle w:val="SOPName"/>
            <w:rPr>
              <w:rFonts w:cs="Arial"/>
            </w:rPr>
          </w:pPr>
          <w:r w:rsidRPr="004A03C3">
            <w:rPr>
              <w:rStyle w:val="SOPLeader"/>
              <w:rFonts w:ascii="Arial" w:hAnsi="Arial" w:cs="Arial"/>
            </w:rPr>
            <w:t>SOP: Post-Review</w:t>
          </w:r>
        </w:p>
      </w:tc>
    </w:tr>
    <w:tr w:rsidR="00D376F5" w:rsidRPr="00AE7473" w14:paraId="53402FD7" w14:textId="77777777" w:rsidTr="006C7B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3402FD1" w14:textId="77777777" w:rsidR="00D376F5" w:rsidRDefault="00240FDC" w:rsidP="006C7BE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2" w14:textId="77777777" w:rsidR="00D376F5" w:rsidRPr="00AE7473" w:rsidRDefault="00042D92" w:rsidP="006C7BE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3" w14:textId="77777777" w:rsidR="00D376F5" w:rsidRPr="00AE7473" w:rsidRDefault="00042D92" w:rsidP="006C7BE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4" w14:textId="77777777" w:rsidR="00D376F5" w:rsidRPr="00AE7473" w:rsidRDefault="00042D92" w:rsidP="006C7BE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5" w14:textId="77777777" w:rsidR="00D376F5" w:rsidRPr="00AE7473" w:rsidRDefault="00042D92" w:rsidP="006C7BE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6" w14:textId="77777777" w:rsidR="00D376F5" w:rsidRPr="00AE7473" w:rsidRDefault="00042D92" w:rsidP="006C7BE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D376F5" w:rsidRPr="00AE7473" w14:paraId="53402FDE" w14:textId="77777777" w:rsidTr="006C7BE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3402FD8" w14:textId="77777777" w:rsidR="00D376F5" w:rsidRDefault="00240FDC" w:rsidP="006C7BE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9" w14:textId="77777777" w:rsidR="00D376F5" w:rsidRPr="0057043C" w:rsidRDefault="00042D92" w:rsidP="006C7BE3">
          <w:pPr>
            <w:pStyle w:val="SOPTableEntry"/>
          </w:pPr>
          <w:r>
            <w:t>HRP-052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A" w14:textId="7EF57D4A" w:rsidR="00090F17" w:rsidRPr="0057043C" w:rsidRDefault="004D70E3" w:rsidP="00913030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B" w14:textId="33A3D909" w:rsidR="00D376F5" w:rsidRPr="0057043C" w:rsidRDefault="00183204" w:rsidP="006C7BE3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C" w14:textId="0AD5F796" w:rsidR="00D376F5" w:rsidRPr="0057043C" w:rsidRDefault="00183204" w:rsidP="006C7BE3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402FDD" w14:textId="4356065A" w:rsidR="00D376F5" w:rsidRPr="0057043C" w:rsidRDefault="00042D92" w:rsidP="006C7BE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240FDC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240FDC">
              <w:rPr>
                <w:noProof/>
              </w:rPr>
              <w:t>2</w:t>
            </w:r>
          </w:fldSimple>
        </w:p>
      </w:tc>
    </w:tr>
  </w:tbl>
  <w:p w14:paraId="53402FDF" w14:textId="77777777" w:rsidR="00771E96" w:rsidRPr="007A2BC4" w:rsidRDefault="00240FDC" w:rsidP="004A03C3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rPWTRfWVXippYKqJcd4BvxckBjYFh0xskO+5alC1YWH21cndgbFf5rU+sR/QyVG5+YPGraqg8P163K6LGLJw==" w:salt="EHqsDs5lSGKfVR5rsBT93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92"/>
    <w:rsid w:val="00042D92"/>
    <w:rsid w:val="0007039B"/>
    <w:rsid w:val="00180500"/>
    <w:rsid w:val="00183204"/>
    <w:rsid w:val="00206AB8"/>
    <w:rsid w:val="00222843"/>
    <w:rsid w:val="00223056"/>
    <w:rsid w:val="00240FDC"/>
    <w:rsid w:val="00241090"/>
    <w:rsid w:val="00246EF2"/>
    <w:rsid w:val="00273DDD"/>
    <w:rsid w:val="00287049"/>
    <w:rsid w:val="002A5F7C"/>
    <w:rsid w:val="002D5723"/>
    <w:rsid w:val="0031202F"/>
    <w:rsid w:val="00321736"/>
    <w:rsid w:val="00322EDE"/>
    <w:rsid w:val="00350B6C"/>
    <w:rsid w:val="00393383"/>
    <w:rsid w:val="00396B88"/>
    <w:rsid w:val="0044081A"/>
    <w:rsid w:val="0045024E"/>
    <w:rsid w:val="004A03C3"/>
    <w:rsid w:val="004D70E3"/>
    <w:rsid w:val="005032D0"/>
    <w:rsid w:val="005257FF"/>
    <w:rsid w:val="0055134E"/>
    <w:rsid w:val="0061477C"/>
    <w:rsid w:val="00662D80"/>
    <w:rsid w:val="00665520"/>
    <w:rsid w:val="0073241E"/>
    <w:rsid w:val="00767235"/>
    <w:rsid w:val="008025CE"/>
    <w:rsid w:val="00810B15"/>
    <w:rsid w:val="00855F25"/>
    <w:rsid w:val="008740F8"/>
    <w:rsid w:val="00891F85"/>
    <w:rsid w:val="008B7D5D"/>
    <w:rsid w:val="008D0ACC"/>
    <w:rsid w:val="009035B6"/>
    <w:rsid w:val="00913030"/>
    <w:rsid w:val="00935922"/>
    <w:rsid w:val="009654FF"/>
    <w:rsid w:val="00974A2B"/>
    <w:rsid w:val="009B5282"/>
    <w:rsid w:val="00A553F4"/>
    <w:rsid w:val="00AE6A55"/>
    <w:rsid w:val="00B736FD"/>
    <w:rsid w:val="00BD141A"/>
    <w:rsid w:val="00C07E7C"/>
    <w:rsid w:val="00C525A5"/>
    <w:rsid w:val="00C61F88"/>
    <w:rsid w:val="00C712FA"/>
    <w:rsid w:val="00C8491A"/>
    <w:rsid w:val="00CB2343"/>
    <w:rsid w:val="00D13767"/>
    <w:rsid w:val="00D21AE8"/>
    <w:rsid w:val="00DA3FCF"/>
    <w:rsid w:val="00DB2F20"/>
    <w:rsid w:val="00DD3051"/>
    <w:rsid w:val="00E3263C"/>
    <w:rsid w:val="00E40863"/>
    <w:rsid w:val="00EB666B"/>
    <w:rsid w:val="00FA30C3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402F7F"/>
  <w15:docId w15:val="{F3CF6CF7-5CBA-4693-98E5-DDA1181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2D92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2D92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042D92"/>
    <w:rPr>
      <w:color w:val="0000FF"/>
      <w:u w:val="single"/>
    </w:rPr>
  </w:style>
  <w:style w:type="paragraph" w:customStyle="1" w:styleId="SOPTableHeader">
    <w:name w:val="SOP Table Head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2D92"/>
    <w:rPr>
      <w:sz w:val="18"/>
    </w:rPr>
  </w:style>
  <w:style w:type="paragraph" w:customStyle="1" w:styleId="SOPLevel1">
    <w:name w:val="SOP Level 1"/>
    <w:basedOn w:val="Normal"/>
    <w:rsid w:val="00042D92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042D92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042D92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042D92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042D92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042D92"/>
    <w:pPr>
      <w:numPr>
        <w:ilvl w:val="5"/>
      </w:numPr>
      <w:ind w:left="5400" w:hanging="1440"/>
    </w:pPr>
  </w:style>
  <w:style w:type="character" w:styleId="CommentReference">
    <w:name w:val="annotation reference"/>
    <w:rsid w:val="00042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D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2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8"/>
  </w:style>
  <w:style w:type="paragraph" w:styleId="Footer">
    <w:name w:val="footer"/>
    <w:basedOn w:val="Normal"/>
    <w:link w:val="Foot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497b1db-a13e-4ee7-9197-b96be736c43f">ZZ3N2KNH64PS-1493-841</_dlc_DocId>
    <_dlc_DocIdUrl xmlns="e497b1db-a13e-4ee7-9197-b96be736c43f">
      <Url>https://omega.huronconsultinggroup.com/hec/hels/pa/he/res/rs/cr/hrpp/_layouts/DocIdRedir.aspx?ID=ZZ3N2KNH64PS-1493-841</Url>
      <Description>ZZ3N2KNH64PS-1493-841</Description>
    </_dlc_DocIdUrl>
  </documentManagement>
</p:properties>
</file>

<file path=customXml/itemProps1.xml><?xml version="1.0" encoding="utf-8"?>
<ds:datastoreItem xmlns:ds="http://schemas.openxmlformats.org/officeDocument/2006/customXml" ds:itemID="{F5AC519C-996C-4E19-B114-3048C7192D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904FB4-1DAD-4E7E-9B6C-94D64A496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33CA4-8021-4A19-A7DC-29A36D0D2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15FE3-F7A7-4B06-96F4-6E958F49D189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e497b1db-a13e-4ee7-9197-b96be736c4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Post-Review</vt:lpstr>
    </vt:vector>
  </TitlesOfParts>
  <Manager>Huron Consulting Group, Inc.</Manager>
  <Company>Huron Consulting Group, Inc.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Post-Review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2019-01-15T20:17:00Z</dcterms:created>
  <dcterms:modified xsi:type="dcterms:W3CDTF">2019-05-13T15:25:00Z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0x0101006CDDE5DBF5327342BD7470BD7728D8DB</vt:lpwstr>
  </property>
  <property fmtid="{D5CDD505-2E9C-101B-9397-08002B2CF9AE}" pid="3" name="_dlc_DocIdItemGuid">
    <vt:lpwstr>791f74e5-e3be-43c9-83c2-39a17be67dd3</vt:lpwstr>
  </property>
</Properties>
</file>